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1CAF6" w14:textId="159B3858" w:rsidR="009736E9" w:rsidRPr="003B6C00" w:rsidRDefault="006C45D6" w:rsidP="009736E9">
      <w:pPr>
        <w:jc w:val="center"/>
        <w:rPr>
          <w:rFonts w:ascii="Verdana" w:hAnsi="Verdana"/>
          <w:b/>
          <w:sz w:val="20"/>
          <w:szCs w:val="20"/>
          <w:u w:val="single"/>
          <w:lang w:val="es-ES"/>
        </w:rPr>
      </w:pPr>
      <w:r w:rsidRPr="006C45D6">
        <w:rPr>
          <w:rFonts w:ascii="Verdana" w:eastAsia="MS Mincho" w:hAnsi="Verdana"/>
          <w:b/>
          <w:sz w:val="20"/>
          <w:szCs w:val="20"/>
          <w:u w:val="single"/>
        </w:rPr>
        <w:t xml:space="preserve">Caso </w:t>
      </w:r>
      <w:r w:rsidR="009A3B71" w:rsidRPr="009A3B71">
        <w:rPr>
          <w:rFonts w:ascii="Verdana" w:eastAsia="MS Mincho" w:hAnsi="Verdana"/>
          <w:b/>
          <w:sz w:val="20"/>
          <w:szCs w:val="20"/>
          <w:u w:val="single"/>
        </w:rPr>
        <w:t xml:space="preserve">Rodríguez Revolorio y otros </w:t>
      </w:r>
      <w:r w:rsidRPr="006C45D6">
        <w:rPr>
          <w:rFonts w:ascii="Verdana" w:eastAsia="MS Mincho" w:hAnsi="Verdana"/>
          <w:b/>
          <w:sz w:val="20"/>
          <w:szCs w:val="20"/>
          <w:u w:val="single"/>
        </w:rPr>
        <w:t>Vs. Guatemala</w:t>
      </w:r>
      <w:r w:rsidR="009736E9" w:rsidRPr="003B6C00">
        <w:rPr>
          <w:rFonts w:ascii="Verdana" w:eastAsia="MS Mincho" w:hAnsi="Verdana"/>
          <w:b/>
          <w:sz w:val="20"/>
          <w:szCs w:val="20"/>
          <w:u w:val="single"/>
        </w:rPr>
        <w:t xml:space="preserve">: </w:t>
      </w:r>
      <w:r w:rsidR="009736E9" w:rsidRPr="003B6C00">
        <w:rPr>
          <w:rFonts w:ascii="Verdana" w:hAnsi="Verdana"/>
          <w:b/>
          <w:sz w:val="20"/>
          <w:szCs w:val="20"/>
          <w:u w:val="single"/>
          <w:lang w:val="es-ES"/>
        </w:rPr>
        <w:t>reparaciones declaradas cumplidas</w:t>
      </w:r>
    </w:p>
    <w:p w14:paraId="1F9931CC" w14:textId="77777777" w:rsidR="006C45D6" w:rsidRPr="006C45D6" w:rsidRDefault="006C45D6" w:rsidP="006C45D6">
      <w:pPr>
        <w:rPr>
          <w:spacing w:val="-2"/>
          <w:szCs w:val="20"/>
          <w:lang w:val="es-PR"/>
        </w:rPr>
      </w:pPr>
    </w:p>
    <w:p w14:paraId="7F05CA8D" w14:textId="77777777" w:rsidR="003D3827" w:rsidRPr="009A326E" w:rsidRDefault="003D3827" w:rsidP="003D3827">
      <w:pPr>
        <w:pStyle w:val="Prrafodelista"/>
        <w:numPr>
          <w:ilvl w:val="0"/>
          <w:numId w:val="3"/>
        </w:numPr>
        <w:spacing w:after="40"/>
        <w:ind w:left="0" w:firstLine="0"/>
        <w:rPr>
          <w:lang w:val="es-CR"/>
        </w:rPr>
      </w:pPr>
      <w:r>
        <w:t>Realizar las publicaciones indicadas en el párrafo 149 de la Sentencia.</w:t>
      </w:r>
    </w:p>
    <w:p w14:paraId="7A3060A7" w14:textId="77777777" w:rsidR="009A326E" w:rsidRPr="009A326E" w:rsidRDefault="009A326E" w:rsidP="009A326E">
      <w:pPr>
        <w:pStyle w:val="Prrafodelista"/>
        <w:spacing w:after="40"/>
        <w:ind w:left="0"/>
        <w:rPr>
          <w:lang w:val="es-CR"/>
        </w:rPr>
      </w:pPr>
    </w:p>
    <w:p w14:paraId="23F19B0F" w14:textId="2DF2E2FB" w:rsidR="009A326E" w:rsidRPr="00E92065" w:rsidRDefault="009A326E" w:rsidP="003D3827">
      <w:pPr>
        <w:pStyle w:val="Prrafodelista"/>
        <w:numPr>
          <w:ilvl w:val="0"/>
          <w:numId w:val="3"/>
        </w:numPr>
        <w:spacing w:after="40"/>
        <w:ind w:left="0" w:firstLine="0"/>
        <w:rPr>
          <w:lang w:val="es-CR"/>
        </w:rPr>
      </w:pPr>
      <w:r>
        <w:t>Pagar las cantidades fijadas en el párrafo 173 de la Sentencia por concepto de indemnización por daño inmaterial.</w:t>
      </w:r>
    </w:p>
    <w:p w14:paraId="0FC47694" w14:textId="77777777" w:rsidR="003D3827" w:rsidRPr="003D3827" w:rsidRDefault="003D3827" w:rsidP="003D3827">
      <w:pPr>
        <w:pStyle w:val="Prrafodelista"/>
        <w:spacing w:after="40"/>
        <w:ind w:left="0"/>
        <w:rPr>
          <w:lang w:val="es-CR"/>
        </w:rPr>
      </w:pPr>
    </w:p>
    <w:p w14:paraId="16F3856E" w14:textId="77777777" w:rsidR="00DF7ECA" w:rsidRDefault="009A3B71" w:rsidP="00AB4CDD">
      <w:pPr>
        <w:pStyle w:val="Prrafodelista"/>
        <w:numPr>
          <w:ilvl w:val="0"/>
          <w:numId w:val="3"/>
        </w:numPr>
        <w:spacing w:after="40"/>
        <w:ind w:left="0" w:firstLine="0"/>
        <w:rPr>
          <w:lang w:val="es-CR"/>
        </w:rPr>
      </w:pPr>
      <w:r>
        <w:t>Reintegrar al Fondo de Asistencia Legal de Víctimas de la Corte Interamericana de Derechos Humanos la cantidad erogada durante la tramitación del presente caso, en los términos del párrafo 184 de la Sentencia.</w:t>
      </w:r>
    </w:p>
    <w:p w14:paraId="477A38DF" w14:textId="77777777" w:rsidR="00DF7ECA" w:rsidRDefault="00DF7ECA" w:rsidP="00DF7ECA">
      <w:pPr>
        <w:autoSpaceDE w:val="0"/>
        <w:autoSpaceDN w:val="0"/>
        <w:adjustRightInd w:val="0"/>
        <w:jc w:val="both"/>
        <w:rPr>
          <w:rFonts w:ascii="Verdana" w:hAnsi="Verdana"/>
          <w:sz w:val="16"/>
          <w:szCs w:val="16"/>
        </w:rPr>
      </w:pPr>
      <w:bookmarkStart w:id="0" w:name="_Hlk178673977"/>
    </w:p>
    <w:p w14:paraId="6A920864" w14:textId="5B47F3B7" w:rsidR="003D3827" w:rsidRPr="00DF7ECA" w:rsidRDefault="00AB4CDD" w:rsidP="00DF7ECA">
      <w:pPr>
        <w:autoSpaceDE w:val="0"/>
        <w:autoSpaceDN w:val="0"/>
        <w:adjustRightInd w:val="0"/>
        <w:jc w:val="both"/>
        <w:rPr>
          <w:rFonts w:ascii="Verdana" w:hAnsi="Verdana" w:cs="Verdana"/>
          <w:sz w:val="20"/>
          <w:szCs w:val="20"/>
          <w:u w:val="single"/>
        </w:rPr>
      </w:pPr>
      <w:r w:rsidRPr="00DF7ECA">
        <w:rPr>
          <w:rFonts w:ascii="Verdana" w:hAnsi="Verdana"/>
          <w:b/>
          <w:bCs/>
          <w:sz w:val="20"/>
          <w:szCs w:val="20"/>
          <w:u w:val="single"/>
        </w:rPr>
        <w:t>Medida sobre la cual se ha concluido el proceso de supervisión de cumplimiento:</w:t>
      </w:r>
    </w:p>
    <w:p w14:paraId="083E8FDC" w14:textId="4D573EAD" w:rsidR="003D3827" w:rsidRPr="003D3827" w:rsidRDefault="003D3827" w:rsidP="00DF7ECA">
      <w:pPr>
        <w:pStyle w:val="Prrafodelista"/>
        <w:numPr>
          <w:ilvl w:val="0"/>
          <w:numId w:val="3"/>
        </w:numPr>
        <w:spacing w:before="240" w:after="40"/>
        <w:ind w:left="0" w:firstLine="0"/>
        <w:rPr>
          <w:lang w:val="es-CR"/>
        </w:rPr>
      </w:pPr>
      <w:r>
        <w:t>Brindar gratuitamente en Guatemala y de forma inmediata el tratamiento médico y psicológico que requiera el señor Miguel Ángel Rodríguez Revolorio, previo consentimiento informado, y por el tiempo que sea necesario, en los términos del párrafo 145 de la Sentencia</w:t>
      </w:r>
      <w:r w:rsidRPr="003D3827">
        <w:rPr>
          <w:szCs w:val="20"/>
        </w:rPr>
        <w:t>.</w:t>
      </w:r>
    </w:p>
    <w:p w14:paraId="6321B014" w14:textId="77777777" w:rsidR="003D3827" w:rsidRPr="000D6436" w:rsidRDefault="003D3827" w:rsidP="003D3827">
      <w:pPr>
        <w:spacing w:after="40"/>
        <w:rPr>
          <w:rFonts w:ascii="Verdana" w:hAnsi="Verdana"/>
          <w:sz w:val="20"/>
          <w:szCs w:val="20"/>
        </w:rPr>
      </w:pPr>
    </w:p>
    <w:p w14:paraId="522ED728" w14:textId="68C8D329" w:rsidR="003D3827" w:rsidRPr="000D6436" w:rsidRDefault="003D3827" w:rsidP="003D3827">
      <w:pPr>
        <w:jc w:val="both"/>
        <w:rPr>
          <w:rFonts w:ascii="Verdana" w:hAnsi="Verdana"/>
          <w:sz w:val="20"/>
          <w:szCs w:val="20"/>
        </w:rPr>
      </w:pPr>
      <w:r w:rsidRPr="00A6401D">
        <w:rPr>
          <w:rFonts w:ascii="Verdana" w:hAnsi="Verdana"/>
          <w:sz w:val="20"/>
          <w:szCs w:val="20"/>
        </w:rPr>
        <w:t xml:space="preserve">En el Considerando </w:t>
      </w:r>
      <w:r w:rsidR="00AB4CDD">
        <w:rPr>
          <w:rFonts w:ascii="Verdana" w:hAnsi="Verdana"/>
          <w:sz w:val="20"/>
          <w:szCs w:val="20"/>
        </w:rPr>
        <w:t>10</w:t>
      </w:r>
      <w:r w:rsidRPr="00A6401D">
        <w:rPr>
          <w:rFonts w:ascii="Verdana" w:hAnsi="Verdana"/>
          <w:sz w:val="20"/>
          <w:szCs w:val="20"/>
        </w:rPr>
        <w:t xml:space="preserve"> de la Resolución de 14 de marzo de 2024, se explica </w:t>
      </w:r>
      <w:r w:rsidR="00AB4CDD">
        <w:rPr>
          <w:rFonts w:ascii="Verdana" w:hAnsi="Verdana"/>
          <w:sz w:val="20"/>
          <w:szCs w:val="20"/>
        </w:rPr>
        <w:t>la razón por la cual se concluye el proceso de supervisión de cumplimiento</w:t>
      </w:r>
      <w:r w:rsidRPr="00A6401D">
        <w:rPr>
          <w:rFonts w:ascii="Verdana" w:hAnsi="Verdana"/>
          <w:sz w:val="20"/>
          <w:szCs w:val="20"/>
        </w:rPr>
        <w:t>:</w:t>
      </w:r>
    </w:p>
    <w:p w14:paraId="022CCC41" w14:textId="6131D4B7" w:rsidR="003D3827" w:rsidRPr="003D3827" w:rsidRDefault="00AB4CDD" w:rsidP="00AB4CDD">
      <w:pPr>
        <w:autoSpaceDE w:val="0"/>
        <w:autoSpaceDN w:val="0"/>
        <w:adjustRightInd w:val="0"/>
        <w:ind w:left="720"/>
        <w:jc w:val="both"/>
        <w:rPr>
          <w:rFonts w:ascii="Verdana" w:hAnsi="Verdana" w:cs="Verdana"/>
          <w:sz w:val="16"/>
          <w:szCs w:val="16"/>
        </w:rPr>
      </w:pPr>
      <w:r w:rsidRPr="00AB4CDD">
        <w:rPr>
          <w:rFonts w:ascii="Verdana" w:hAnsi="Verdana" w:cs="Verdana"/>
          <w:sz w:val="16"/>
          <w:szCs w:val="16"/>
        </w:rPr>
        <w:t>Si bien la víctima Miguel Ángel Rodríguez Revolorio recibió tratamiento médico y</w:t>
      </w:r>
      <w:r>
        <w:rPr>
          <w:rFonts w:ascii="Verdana" w:hAnsi="Verdana" w:cs="Verdana"/>
          <w:sz w:val="16"/>
          <w:szCs w:val="16"/>
        </w:rPr>
        <w:t xml:space="preserve"> </w:t>
      </w:r>
      <w:r w:rsidRPr="00AB4CDD">
        <w:rPr>
          <w:rFonts w:ascii="Verdana" w:hAnsi="Verdana" w:cs="Verdana"/>
          <w:sz w:val="16"/>
          <w:szCs w:val="16"/>
        </w:rPr>
        <w:t>psicológico gratuito (</w:t>
      </w:r>
      <w:r w:rsidRPr="00AB4CDD">
        <w:rPr>
          <w:rFonts w:ascii="Verdana" w:hAnsi="Verdana" w:cs="Verdana"/>
          <w:i/>
          <w:iCs/>
          <w:sz w:val="16"/>
          <w:szCs w:val="16"/>
        </w:rPr>
        <w:t xml:space="preserve">supra </w:t>
      </w:r>
      <w:r w:rsidRPr="00AB4CDD">
        <w:rPr>
          <w:rFonts w:ascii="Verdana" w:hAnsi="Verdana" w:cs="Verdana"/>
          <w:sz w:val="16"/>
          <w:szCs w:val="16"/>
        </w:rPr>
        <w:t>Considerandos 6, 7 y 9), debido a que no consta que haya</w:t>
      </w:r>
      <w:r>
        <w:rPr>
          <w:rFonts w:ascii="Verdana" w:hAnsi="Verdana" w:cs="Verdana"/>
          <w:sz w:val="16"/>
          <w:szCs w:val="16"/>
        </w:rPr>
        <w:t xml:space="preserve"> </w:t>
      </w:r>
      <w:r w:rsidRPr="00AB4CDD">
        <w:rPr>
          <w:rFonts w:ascii="Verdana" w:hAnsi="Verdana" w:cs="Verdana"/>
          <w:sz w:val="16"/>
          <w:szCs w:val="16"/>
        </w:rPr>
        <w:t>recibido tal atención durante el período comprendido entre el 2 de diciembre de 2019 y</w:t>
      </w:r>
      <w:r>
        <w:rPr>
          <w:rFonts w:ascii="Verdana" w:hAnsi="Verdana" w:cs="Verdana"/>
          <w:sz w:val="16"/>
          <w:szCs w:val="16"/>
        </w:rPr>
        <w:t xml:space="preserve"> </w:t>
      </w:r>
      <w:r w:rsidRPr="00AB4CDD">
        <w:rPr>
          <w:rFonts w:ascii="Verdana" w:hAnsi="Verdana" w:cs="Verdana"/>
          <w:sz w:val="16"/>
          <w:szCs w:val="16"/>
        </w:rPr>
        <w:t>el 8 de septiembre de 2021 (</w:t>
      </w:r>
      <w:r w:rsidRPr="00AB4CDD">
        <w:rPr>
          <w:rFonts w:ascii="Verdana" w:hAnsi="Verdana" w:cs="Verdana"/>
          <w:i/>
          <w:iCs/>
          <w:sz w:val="16"/>
          <w:szCs w:val="16"/>
        </w:rPr>
        <w:t xml:space="preserve">supra </w:t>
      </w:r>
      <w:r w:rsidRPr="00AB4CDD">
        <w:rPr>
          <w:rFonts w:ascii="Verdana" w:hAnsi="Verdana" w:cs="Verdana"/>
          <w:sz w:val="16"/>
          <w:szCs w:val="16"/>
        </w:rPr>
        <w:t>Considerando 5), y teniendo en cuenta las deficiencias</w:t>
      </w:r>
      <w:r>
        <w:rPr>
          <w:rFonts w:ascii="Verdana" w:hAnsi="Verdana" w:cs="Verdana"/>
          <w:sz w:val="16"/>
          <w:szCs w:val="16"/>
        </w:rPr>
        <w:t xml:space="preserve"> </w:t>
      </w:r>
      <w:r w:rsidRPr="00AB4CDD">
        <w:rPr>
          <w:rFonts w:ascii="Verdana" w:hAnsi="Verdana" w:cs="Verdana"/>
          <w:sz w:val="16"/>
          <w:szCs w:val="16"/>
        </w:rPr>
        <w:t>presentadas entre enero y mayo de 2022 en los exámenes y medicamentos gratuitos</w:t>
      </w:r>
      <w:r>
        <w:rPr>
          <w:rFonts w:ascii="Verdana" w:hAnsi="Verdana" w:cs="Verdana"/>
          <w:sz w:val="16"/>
          <w:szCs w:val="16"/>
        </w:rPr>
        <w:t xml:space="preserve"> </w:t>
      </w:r>
      <w:r w:rsidRPr="00AB4CDD">
        <w:rPr>
          <w:rFonts w:ascii="Verdana" w:hAnsi="Verdana" w:cs="Verdana"/>
          <w:sz w:val="16"/>
          <w:szCs w:val="16"/>
        </w:rPr>
        <w:t>(</w:t>
      </w:r>
      <w:r w:rsidRPr="00AB4CDD">
        <w:rPr>
          <w:rFonts w:ascii="Verdana" w:hAnsi="Verdana" w:cs="Verdana"/>
          <w:i/>
          <w:iCs/>
          <w:sz w:val="16"/>
          <w:szCs w:val="16"/>
        </w:rPr>
        <w:t xml:space="preserve">supra </w:t>
      </w:r>
      <w:r w:rsidRPr="00AB4CDD">
        <w:rPr>
          <w:rFonts w:ascii="Verdana" w:hAnsi="Verdana" w:cs="Verdana"/>
          <w:sz w:val="16"/>
          <w:szCs w:val="16"/>
        </w:rPr>
        <w:t>Considerando 7), la Corte concluye que el Estado dio cumplimiento parcial a la</w:t>
      </w:r>
      <w:r>
        <w:rPr>
          <w:rFonts w:ascii="Verdana" w:hAnsi="Verdana" w:cs="Verdana"/>
          <w:sz w:val="16"/>
          <w:szCs w:val="16"/>
        </w:rPr>
        <w:t xml:space="preserve"> </w:t>
      </w:r>
      <w:r w:rsidRPr="00AB4CDD">
        <w:rPr>
          <w:rFonts w:ascii="Verdana" w:hAnsi="Verdana" w:cs="Verdana"/>
          <w:sz w:val="16"/>
          <w:szCs w:val="16"/>
        </w:rPr>
        <w:t>medida relativa a brindar gratuitamente y de forma inmediata el tratamiento médico y</w:t>
      </w:r>
      <w:r>
        <w:rPr>
          <w:rFonts w:ascii="Verdana" w:hAnsi="Verdana" w:cs="Verdana"/>
          <w:sz w:val="16"/>
          <w:szCs w:val="16"/>
        </w:rPr>
        <w:t xml:space="preserve"> </w:t>
      </w:r>
      <w:r w:rsidRPr="00AB4CDD">
        <w:rPr>
          <w:rFonts w:ascii="Verdana" w:hAnsi="Verdana" w:cs="Verdana"/>
          <w:sz w:val="16"/>
          <w:szCs w:val="16"/>
        </w:rPr>
        <w:t>psicológico, incluida la provisión gratuita de medicamentos, por el tiempo que sea</w:t>
      </w:r>
      <w:r>
        <w:rPr>
          <w:rFonts w:ascii="Verdana" w:hAnsi="Verdana" w:cs="Verdana"/>
          <w:sz w:val="16"/>
          <w:szCs w:val="16"/>
        </w:rPr>
        <w:t xml:space="preserve"> </w:t>
      </w:r>
      <w:r w:rsidRPr="00AB4CDD">
        <w:rPr>
          <w:rFonts w:ascii="Verdana" w:hAnsi="Verdana" w:cs="Verdana"/>
          <w:sz w:val="16"/>
          <w:szCs w:val="16"/>
        </w:rPr>
        <w:t>necesario, ordenada en el punto resolutivo octavo y en el párrafo 145 de la Sentencia.</w:t>
      </w:r>
      <w:r>
        <w:rPr>
          <w:rFonts w:ascii="Verdana" w:hAnsi="Verdana" w:cs="Verdana"/>
          <w:sz w:val="16"/>
          <w:szCs w:val="16"/>
        </w:rPr>
        <w:t xml:space="preserve"> </w:t>
      </w:r>
      <w:r w:rsidRPr="00AB4CDD">
        <w:rPr>
          <w:rFonts w:ascii="Verdana" w:hAnsi="Verdana" w:cs="Verdana"/>
          <w:sz w:val="16"/>
          <w:szCs w:val="16"/>
        </w:rPr>
        <w:t>Finalmente, la Corte lamenta profundamente el fallecimiento de la víctima Miguel Ángel</w:t>
      </w:r>
      <w:r>
        <w:rPr>
          <w:rFonts w:ascii="Verdana" w:hAnsi="Verdana" w:cs="Verdana"/>
          <w:sz w:val="16"/>
          <w:szCs w:val="16"/>
        </w:rPr>
        <w:t xml:space="preserve"> </w:t>
      </w:r>
      <w:r w:rsidRPr="00AB4CDD">
        <w:rPr>
          <w:rFonts w:ascii="Verdana" w:hAnsi="Verdana" w:cs="Verdana"/>
          <w:sz w:val="16"/>
          <w:szCs w:val="16"/>
        </w:rPr>
        <w:t>Rodríguez Revolorio y, en tal virtud, concluye la supervisión de la presente medida.</w:t>
      </w:r>
    </w:p>
    <w:bookmarkEnd w:id="0"/>
    <w:p w14:paraId="2AD2D7CF" w14:textId="053D30CF" w:rsidR="006C45D6" w:rsidRPr="009736E9" w:rsidRDefault="006C45D6" w:rsidP="006C45D6">
      <w:pPr>
        <w:rPr>
          <w:rFonts w:eastAsia="MS Mincho"/>
          <w:u w:val="single"/>
        </w:rPr>
      </w:pPr>
    </w:p>
    <w:sectPr w:rsidR="006C45D6" w:rsidRPr="009736E9">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DFB84" w14:textId="77777777" w:rsidR="002A349E" w:rsidRDefault="002A349E" w:rsidP="003B6C00">
      <w:pPr>
        <w:spacing w:after="0" w:line="240" w:lineRule="auto"/>
      </w:pPr>
      <w:r>
        <w:separator/>
      </w:r>
    </w:p>
  </w:endnote>
  <w:endnote w:type="continuationSeparator" w:id="0">
    <w:p w14:paraId="233B49DB" w14:textId="77777777" w:rsidR="002A349E" w:rsidRDefault="002A349E" w:rsidP="003B6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BF4E6" w14:textId="77777777" w:rsidR="003B6C00" w:rsidRPr="00A950A1" w:rsidRDefault="003B6C00" w:rsidP="003B6C00">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69EDD57" w14:textId="77777777" w:rsidR="003B6C00" w:rsidRDefault="003B6C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42FF3" w14:textId="77777777" w:rsidR="002A349E" w:rsidRDefault="002A349E" w:rsidP="003B6C00">
      <w:pPr>
        <w:spacing w:after="0" w:line="240" w:lineRule="auto"/>
      </w:pPr>
      <w:r>
        <w:separator/>
      </w:r>
    </w:p>
  </w:footnote>
  <w:footnote w:type="continuationSeparator" w:id="0">
    <w:p w14:paraId="33F4181E" w14:textId="77777777" w:rsidR="002A349E" w:rsidRDefault="002A349E" w:rsidP="003B6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5652"/>
    <w:multiLevelType w:val="hybridMultilevel"/>
    <w:tmpl w:val="AD982202"/>
    <w:lvl w:ilvl="0" w:tplc="0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515E9E"/>
    <w:multiLevelType w:val="hybridMultilevel"/>
    <w:tmpl w:val="F490F310"/>
    <w:lvl w:ilvl="0" w:tplc="6980CF7E">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DC13B0"/>
    <w:multiLevelType w:val="hybridMultilevel"/>
    <w:tmpl w:val="C3D67DC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EA823C8"/>
    <w:multiLevelType w:val="hybridMultilevel"/>
    <w:tmpl w:val="D25821F6"/>
    <w:lvl w:ilvl="0" w:tplc="0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463689674">
    <w:abstractNumId w:val="1"/>
  </w:num>
  <w:num w:numId="2" w16cid:durableId="373819455">
    <w:abstractNumId w:val="0"/>
  </w:num>
  <w:num w:numId="3" w16cid:durableId="1041899737">
    <w:abstractNumId w:val="3"/>
  </w:num>
  <w:num w:numId="4" w16cid:durableId="1712918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6E9"/>
    <w:rsid w:val="00042289"/>
    <w:rsid w:val="001F53EA"/>
    <w:rsid w:val="002A349E"/>
    <w:rsid w:val="003B6C00"/>
    <w:rsid w:val="003D3827"/>
    <w:rsid w:val="0050628A"/>
    <w:rsid w:val="005B21EE"/>
    <w:rsid w:val="006C45D6"/>
    <w:rsid w:val="008A7C8F"/>
    <w:rsid w:val="009736E9"/>
    <w:rsid w:val="009A326E"/>
    <w:rsid w:val="009A3B71"/>
    <w:rsid w:val="00A039D2"/>
    <w:rsid w:val="00AB4CDD"/>
    <w:rsid w:val="00B13E36"/>
    <w:rsid w:val="00DF7ECA"/>
    <w:rsid w:val="00F90EB1"/>
    <w:rsid w:val="00FD31E3"/>
    <w:rsid w:val="00FD392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3BB5"/>
  <w15:chartTrackingRefBased/>
  <w15:docId w15:val="{035BA445-6885-46E4-9E67-7AA69999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B21EE"/>
    <w:pPr>
      <w:autoSpaceDE w:val="0"/>
      <w:autoSpaceDN w:val="0"/>
      <w:adjustRightInd w:val="0"/>
      <w:spacing w:after="0" w:line="240" w:lineRule="auto"/>
    </w:pPr>
    <w:rPr>
      <w:rFonts w:ascii="Verdana" w:eastAsia="Calibri" w:hAnsi="Verdana" w:cs="Verdana"/>
      <w:color w:val="000000"/>
      <w:sz w:val="24"/>
      <w:szCs w:val="24"/>
      <w:lang w:val="en-US"/>
    </w:rPr>
  </w:style>
  <w:style w:type="paragraph" w:styleId="Prrafodelista">
    <w:name w:val="List Paragraph"/>
    <w:aliases w:val="Footnote,List Paragraph1,Párrafo de lista1,Colorful List - Accent 11,List Paragraph2,Lista vistosa - Énfasis 11"/>
    <w:basedOn w:val="Normal"/>
    <w:link w:val="PrrafodelistaCar"/>
    <w:uiPriority w:val="34"/>
    <w:qFormat/>
    <w:rsid w:val="005B21EE"/>
    <w:pPr>
      <w:spacing w:after="0" w:line="240" w:lineRule="auto"/>
      <w:ind w:left="720"/>
      <w:contextualSpacing/>
      <w:jc w:val="both"/>
    </w:pPr>
    <w:rPr>
      <w:rFonts w:ascii="Verdana" w:eastAsia="Batang" w:hAnsi="Verdana" w:cs="Times"/>
      <w:noProof/>
      <w:sz w:val="20"/>
      <w:szCs w:val="24"/>
      <w:lang w:val="es-ES_tradnl"/>
    </w:rPr>
  </w:style>
  <w:style w:type="paragraph" w:styleId="Encabezado">
    <w:name w:val="header"/>
    <w:basedOn w:val="Normal"/>
    <w:link w:val="EncabezadoCar"/>
    <w:uiPriority w:val="99"/>
    <w:unhideWhenUsed/>
    <w:rsid w:val="003B6C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6C00"/>
  </w:style>
  <w:style w:type="paragraph" w:styleId="Piedepgina">
    <w:name w:val="footer"/>
    <w:basedOn w:val="Normal"/>
    <w:link w:val="PiedepginaCar"/>
    <w:uiPriority w:val="99"/>
    <w:unhideWhenUsed/>
    <w:rsid w:val="003B6C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6C00"/>
  </w:style>
  <w:style w:type="character" w:customStyle="1" w:styleId="PrrafodelistaCar">
    <w:name w:val="Párrafo de lista Car"/>
    <w:aliases w:val="Footnote Car,List Paragraph1 Car,Párrafo de lista1 Car,Colorful List - Accent 11 Car,List Paragraph2 Car,Lista vistosa - Énfasis 11 Car"/>
    <w:link w:val="Prrafodelista"/>
    <w:uiPriority w:val="34"/>
    <w:rsid w:val="006C45D6"/>
    <w:rPr>
      <w:rFonts w:ascii="Verdana" w:eastAsia="Batang" w:hAnsi="Verdana" w:cs="Times"/>
      <w:noProof/>
      <w:sz w:val="2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1620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Magda Ramirez</cp:lastModifiedBy>
  <cp:revision>2</cp:revision>
  <dcterms:created xsi:type="dcterms:W3CDTF">2025-03-12T15:26:00Z</dcterms:created>
  <dcterms:modified xsi:type="dcterms:W3CDTF">2025-03-12T15:26:00Z</dcterms:modified>
</cp:coreProperties>
</file>